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03069" w14:textId="12A6D553" w:rsidR="00F31005" w:rsidRPr="00B55935" w:rsidRDefault="00F31005" w:rsidP="00F31005">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207500" w:rsidRPr="00207500">
        <w:rPr>
          <w:rFonts w:ascii="Calibri" w:eastAsia="新細明體" w:hAnsi="Calibri" w:cs="Arial"/>
          <w:noProof w:val="0"/>
          <w:sz w:val="24"/>
          <w:szCs w:val="24"/>
          <w:lang w:eastAsia="ja-JP"/>
        </w:rPr>
        <w:t>R4-2000461</w:t>
      </w:r>
    </w:p>
    <w:p w14:paraId="3D2DF7F9" w14:textId="77777777" w:rsidR="00F31005" w:rsidRDefault="00F31005" w:rsidP="00F31005">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4EBBEB2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C56A6E">
        <w:rPr>
          <w:rFonts w:cs="Arial"/>
          <w:b/>
          <w:bCs/>
        </w:rPr>
        <w:t>8</w:t>
      </w:r>
      <w:r w:rsidR="00974EE8">
        <w:rPr>
          <w:rFonts w:cs="Arial"/>
          <w:b/>
          <w:bCs/>
        </w:rPr>
        <w:t>.</w:t>
      </w:r>
      <w:r w:rsidR="00333F93">
        <w:rPr>
          <w:rFonts w:cs="Arial"/>
          <w:b/>
          <w:bCs/>
        </w:rPr>
        <w:t>15.</w:t>
      </w:r>
      <w:r w:rsidR="005D15A7">
        <w:rPr>
          <w:rFonts w:cs="Arial"/>
          <w:b/>
          <w:bCs/>
        </w:rPr>
        <w:t>1.</w:t>
      </w:r>
      <w:r w:rsidR="002944C1">
        <w:rPr>
          <w:rFonts w:cs="Arial"/>
          <w:b/>
          <w:bCs/>
        </w:rPr>
        <w:t>7</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5C95A11" w:rsidR="00174EC2" w:rsidRDefault="0034111C" w:rsidP="007A4FCF">
      <w:pPr>
        <w:ind w:left="1985" w:hanging="1985"/>
        <w:rPr>
          <w:rFonts w:cs="Arial"/>
          <w:b/>
          <w:bCs/>
        </w:rPr>
      </w:pPr>
      <w:r w:rsidRPr="000C45FD">
        <w:rPr>
          <w:rFonts w:cs="Arial"/>
          <w:b/>
          <w:bCs/>
        </w:rPr>
        <w:t>Title:</w:t>
      </w:r>
      <w:r w:rsidRPr="000C45FD">
        <w:rPr>
          <w:rFonts w:cs="Arial"/>
          <w:b/>
          <w:bCs/>
        </w:rPr>
        <w:tab/>
      </w:r>
      <w:r w:rsidR="002944C1" w:rsidRPr="002944C1">
        <w:rPr>
          <w:rFonts w:cs="Arial"/>
          <w:b/>
          <w:bCs/>
        </w:rPr>
        <w:t>Delay requirement for UE-specific channel bandwidth change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187E0E6E" w14:textId="3DCABB57" w:rsidR="00EA5CCC" w:rsidRDefault="002944C1" w:rsidP="002944C1">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the revised WID [1], there is an objective about the requirement for UE specific channel bandwidth change.</w:t>
      </w:r>
    </w:p>
    <w:tbl>
      <w:tblPr>
        <w:tblStyle w:val="TableGrid"/>
        <w:tblW w:w="0" w:type="auto"/>
        <w:tblLook w:val="04A0" w:firstRow="1" w:lastRow="0" w:firstColumn="1" w:lastColumn="0" w:noHBand="0" w:noVBand="1"/>
      </w:tblPr>
      <w:tblGrid>
        <w:gridCol w:w="9629"/>
      </w:tblGrid>
      <w:tr w:rsidR="002944C1" w14:paraId="0FEC23A1" w14:textId="77777777" w:rsidTr="002944C1">
        <w:tc>
          <w:tcPr>
            <w:tcW w:w="9629" w:type="dxa"/>
          </w:tcPr>
          <w:p w14:paraId="26BD94E7" w14:textId="77777777" w:rsidR="002944C1" w:rsidRPr="00E24029" w:rsidRDefault="002944C1" w:rsidP="002944C1">
            <w:pPr>
              <w:spacing w:after="0"/>
              <w:jc w:val="both"/>
              <w:rPr>
                <w:b/>
                <w:bCs/>
                <w:sz w:val="18"/>
                <w:u w:val="single"/>
              </w:rPr>
            </w:pPr>
            <w:r w:rsidRPr="00E24029">
              <w:rPr>
                <w:b/>
                <w:bCs/>
                <w:sz w:val="18"/>
                <w:u w:val="single"/>
              </w:rPr>
              <w:t>Study phase:</w:t>
            </w:r>
          </w:p>
          <w:p w14:paraId="50E7F8E9" w14:textId="77777777" w:rsidR="002944C1" w:rsidRPr="00E24029" w:rsidRDefault="002944C1" w:rsidP="002944C1">
            <w:pPr>
              <w:pStyle w:val="ListParagraph"/>
              <w:spacing w:after="120"/>
              <w:ind w:left="0"/>
              <w:contextualSpacing w:val="0"/>
              <w:rPr>
                <w:sz w:val="18"/>
                <w:lang w:eastAsia="zh-CN"/>
              </w:rPr>
            </w:pPr>
            <w:r w:rsidRPr="00E24029">
              <w:rPr>
                <w:sz w:val="18"/>
                <w:lang w:eastAsia="zh-CN"/>
              </w:rPr>
              <w:t>To study the feasibility or necessity to introduce the requirements for the following aspects:</w:t>
            </w:r>
          </w:p>
          <w:p w14:paraId="6E44EA1E" w14:textId="77777777" w:rsidR="002944C1" w:rsidRPr="00E24029" w:rsidRDefault="002944C1" w:rsidP="002944C1">
            <w:pPr>
              <w:pStyle w:val="NormalWeb"/>
              <w:numPr>
                <w:ilvl w:val="0"/>
                <w:numId w:val="19"/>
              </w:numPr>
              <w:spacing w:before="0" w:beforeAutospacing="0" w:after="120" w:afterAutospacing="0" w:line="240" w:lineRule="auto"/>
              <w:rPr>
                <w:rFonts w:asciiTheme="minorHAnsi" w:hAnsiTheme="minorHAnsi"/>
                <w:sz w:val="18"/>
              </w:rPr>
            </w:pPr>
            <w:r w:rsidRPr="00E24029">
              <w:rPr>
                <w:rFonts w:asciiTheme="minorHAnsi" w:hAnsiTheme="minorHAnsi"/>
                <w:sz w:val="18"/>
              </w:rPr>
              <w:t>RRM requirements for UE specific channel BW change in FR1 and FR2</w:t>
            </w:r>
          </w:p>
          <w:p w14:paraId="64D67B2E" w14:textId="77777777" w:rsidR="002944C1" w:rsidRPr="00E24029" w:rsidRDefault="002944C1" w:rsidP="002944C1">
            <w:pPr>
              <w:pStyle w:val="ListParagraph"/>
              <w:numPr>
                <w:ilvl w:val="1"/>
                <w:numId w:val="18"/>
              </w:numPr>
              <w:spacing w:after="120" w:line="240" w:lineRule="auto"/>
              <w:contextualSpacing w:val="0"/>
              <w:rPr>
                <w:sz w:val="18"/>
                <w:lang w:eastAsia="zh-CN"/>
              </w:rPr>
            </w:pPr>
            <w:r w:rsidRPr="00E24029">
              <w:rPr>
                <w:sz w:val="18"/>
                <w:lang w:eastAsia="zh-CN"/>
              </w:rPr>
              <w:t xml:space="preserve">Study to introduce RRM requirements for UE specific channel BW change </w:t>
            </w:r>
          </w:p>
          <w:p w14:paraId="077789BF" w14:textId="2C3B6EED" w:rsidR="002944C1" w:rsidRDefault="002944C1" w:rsidP="002944C1">
            <w:pPr>
              <w:pStyle w:val="ListParagraph"/>
              <w:spacing w:after="120"/>
              <w:contextualSpacing w:val="0"/>
            </w:pPr>
            <w:r w:rsidRPr="00E24029">
              <w:rPr>
                <w:sz w:val="18"/>
                <w:lang w:eastAsia="zh-CN"/>
              </w:rPr>
              <w:t>Note: If requirements are introduced, they should be power class agnostic for both FR1 and FR2</w:t>
            </w:r>
          </w:p>
        </w:tc>
      </w:tr>
    </w:tbl>
    <w:p w14:paraId="5875E478" w14:textId="79C17503" w:rsidR="002944C1" w:rsidRPr="00842EE0" w:rsidRDefault="002944C1" w:rsidP="002944C1">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However, there were no discussion papers submitted in previous RAN4 meetings. In this paper, we try to start the discussion by providing our view.</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5D3A87B" w14:textId="4CBEEB54" w:rsidR="00B21192" w:rsidRPr="004F09D8" w:rsidRDefault="002944C1" w:rsidP="002944C1">
      <w:pPr>
        <w:pStyle w:val="Caption"/>
        <w:jc w:val="both"/>
        <w:rPr>
          <w:b w:val="0"/>
          <w:lang w:val="en-US"/>
        </w:rPr>
      </w:pPr>
      <w:r w:rsidRPr="002944C1">
        <w:rPr>
          <w:b w:val="0"/>
          <w:lang w:val="en-US"/>
        </w:rPr>
        <w:t>In our</w:t>
      </w:r>
      <w:r>
        <w:rPr>
          <w:b w:val="0"/>
          <w:lang w:val="en-US"/>
        </w:rPr>
        <w:t xml:space="preserve"> understanding, changing UE specific channel bandwidth means to signal a different value for either </w:t>
      </w:r>
      <w:r w:rsidRPr="002944C1">
        <w:rPr>
          <w:rFonts w:ascii="Times New Roman" w:hAnsi="Times New Roman" w:cs="Times New Roman"/>
          <w:b w:val="0"/>
          <w:i/>
          <w:lang w:val="en-US"/>
        </w:rPr>
        <w:t>offsetToCarrier</w:t>
      </w:r>
      <w:r w:rsidRPr="002944C1">
        <w:rPr>
          <w:b w:val="0"/>
          <w:lang w:val="en-US"/>
        </w:rPr>
        <w:t xml:space="preserve"> or </w:t>
      </w:r>
      <w:r w:rsidRPr="002944C1">
        <w:rPr>
          <w:rFonts w:ascii="Times New Roman" w:hAnsi="Times New Roman" w:cs="Times New Roman"/>
          <w:b w:val="0"/>
          <w:i/>
          <w:lang w:val="en-US"/>
        </w:rPr>
        <w:t>carrierBandwidth</w:t>
      </w:r>
      <w:r w:rsidRPr="002944C1">
        <w:rPr>
          <w:b w:val="0"/>
          <w:lang w:val="en-US"/>
        </w:rPr>
        <w:t xml:space="preserve"> </w:t>
      </w:r>
      <w:r>
        <w:rPr>
          <w:b w:val="0"/>
          <w:lang w:val="en-US"/>
        </w:rPr>
        <w:t xml:space="preserve">in </w:t>
      </w:r>
      <w:r w:rsidRPr="002944C1">
        <w:rPr>
          <w:rFonts w:ascii="Times New Roman" w:hAnsi="Times New Roman" w:cs="Times New Roman"/>
          <w:b w:val="0"/>
          <w:i/>
          <w:lang w:val="en-US"/>
        </w:rPr>
        <w:t>SCS-SpecificCarrier</w:t>
      </w:r>
      <w:r w:rsidR="004F09D8">
        <w:rPr>
          <w:b w:val="0"/>
          <w:lang w:val="en-US"/>
        </w:rPr>
        <w:t xml:space="preserve">, which is provided in </w:t>
      </w:r>
      <w:r w:rsidR="004F09D8" w:rsidRPr="004F09D8">
        <w:rPr>
          <w:rFonts w:ascii="Times New Roman" w:hAnsi="Times New Roman" w:cs="Times New Roman"/>
          <w:b w:val="0"/>
          <w:i/>
          <w:lang w:val="en-US"/>
        </w:rPr>
        <w:t>ServingCellConfig</w:t>
      </w:r>
      <w:r w:rsidR="004F09D8" w:rsidRPr="004F09D8">
        <w:rPr>
          <w:b w:val="0"/>
          <w:lang w:val="en-US"/>
        </w:rPr>
        <w:t xml:space="preserve"> for</w:t>
      </w:r>
      <w:r w:rsidR="004F09D8">
        <w:rPr>
          <w:b w:val="0"/>
          <w:lang w:val="en-US"/>
        </w:rPr>
        <w:t xml:space="preserve"> both DL and UL.</w:t>
      </w:r>
    </w:p>
    <w:tbl>
      <w:tblPr>
        <w:tblStyle w:val="TableGrid"/>
        <w:tblW w:w="0" w:type="auto"/>
        <w:tblLook w:val="04A0" w:firstRow="1" w:lastRow="0" w:firstColumn="1" w:lastColumn="0" w:noHBand="0" w:noVBand="1"/>
      </w:tblPr>
      <w:tblGrid>
        <w:gridCol w:w="9629"/>
      </w:tblGrid>
      <w:tr w:rsidR="002944C1" w:rsidRPr="002944C1" w14:paraId="5359F649" w14:textId="77777777" w:rsidTr="002944C1">
        <w:tc>
          <w:tcPr>
            <w:tcW w:w="9629" w:type="dxa"/>
          </w:tcPr>
          <w:p w14:paraId="38D950A5" w14:textId="77777777" w:rsidR="002944C1" w:rsidRPr="002944C1" w:rsidRDefault="002944C1" w:rsidP="002944C1">
            <w:pPr>
              <w:pStyle w:val="TH"/>
              <w:spacing w:before="0" w:after="0"/>
              <w:rPr>
                <w:sz w:val="18"/>
                <w:lang w:val="en-GB"/>
              </w:rPr>
            </w:pPr>
            <w:r w:rsidRPr="002944C1">
              <w:rPr>
                <w:i/>
                <w:sz w:val="18"/>
                <w:lang w:val="en-GB"/>
              </w:rPr>
              <w:t>SCS-SpecificCarrier</w:t>
            </w:r>
            <w:r w:rsidRPr="002944C1">
              <w:rPr>
                <w:sz w:val="18"/>
                <w:lang w:val="en-GB"/>
              </w:rPr>
              <w:t xml:space="preserve"> information element</w:t>
            </w:r>
          </w:p>
          <w:p w14:paraId="03F79C84" w14:textId="77777777" w:rsidR="002944C1" w:rsidRPr="002944C1" w:rsidRDefault="002944C1" w:rsidP="002944C1">
            <w:pPr>
              <w:pStyle w:val="PL"/>
              <w:rPr>
                <w:sz w:val="14"/>
              </w:rPr>
            </w:pPr>
            <w:r w:rsidRPr="002944C1">
              <w:rPr>
                <w:sz w:val="14"/>
              </w:rPr>
              <w:t>-- ASN1START</w:t>
            </w:r>
          </w:p>
          <w:p w14:paraId="4D3C2DDF" w14:textId="77777777" w:rsidR="002944C1" w:rsidRPr="002944C1" w:rsidRDefault="002944C1" w:rsidP="002944C1">
            <w:pPr>
              <w:pStyle w:val="PL"/>
              <w:rPr>
                <w:sz w:val="14"/>
              </w:rPr>
            </w:pPr>
            <w:r w:rsidRPr="002944C1">
              <w:rPr>
                <w:sz w:val="14"/>
              </w:rPr>
              <w:t>-- TAG-SCS-SPECIFICCARRIER-START</w:t>
            </w:r>
          </w:p>
          <w:p w14:paraId="18B8AD83" w14:textId="77777777" w:rsidR="002944C1" w:rsidRPr="002944C1" w:rsidRDefault="002944C1" w:rsidP="002944C1">
            <w:pPr>
              <w:pStyle w:val="PL"/>
              <w:rPr>
                <w:sz w:val="14"/>
              </w:rPr>
            </w:pPr>
          </w:p>
          <w:p w14:paraId="7FE54AD6" w14:textId="77777777" w:rsidR="002944C1" w:rsidRPr="002944C1" w:rsidRDefault="002944C1" w:rsidP="002944C1">
            <w:pPr>
              <w:pStyle w:val="PL"/>
              <w:rPr>
                <w:sz w:val="14"/>
              </w:rPr>
            </w:pPr>
            <w:r w:rsidRPr="002944C1">
              <w:rPr>
                <w:sz w:val="14"/>
              </w:rPr>
              <w:t>SCS-SpecificCarrier ::=             SEQUENCE {</w:t>
            </w:r>
          </w:p>
          <w:p w14:paraId="1A74E230" w14:textId="77777777" w:rsidR="002944C1" w:rsidRPr="002944C1" w:rsidRDefault="002944C1" w:rsidP="002944C1">
            <w:pPr>
              <w:pStyle w:val="PL"/>
              <w:rPr>
                <w:sz w:val="14"/>
              </w:rPr>
            </w:pPr>
            <w:r w:rsidRPr="002944C1">
              <w:rPr>
                <w:sz w:val="14"/>
              </w:rPr>
              <w:t xml:space="preserve">    </w:t>
            </w:r>
            <w:r w:rsidRPr="002944C1">
              <w:rPr>
                <w:sz w:val="14"/>
                <w:highlight w:val="yellow"/>
              </w:rPr>
              <w:t>offsetToCarrier</w:t>
            </w:r>
            <w:r w:rsidRPr="002944C1">
              <w:rPr>
                <w:sz w:val="14"/>
              </w:rPr>
              <w:t xml:space="preserve">                     INTEGER (0..2199),</w:t>
            </w:r>
          </w:p>
          <w:p w14:paraId="11161B64" w14:textId="77777777" w:rsidR="002944C1" w:rsidRPr="002944C1" w:rsidRDefault="002944C1" w:rsidP="002944C1">
            <w:pPr>
              <w:pStyle w:val="PL"/>
              <w:rPr>
                <w:sz w:val="14"/>
              </w:rPr>
            </w:pPr>
            <w:r w:rsidRPr="002944C1">
              <w:rPr>
                <w:sz w:val="14"/>
              </w:rPr>
              <w:t xml:space="preserve">    subcarrierSpacing                   SubcarrierSpacing,</w:t>
            </w:r>
          </w:p>
          <w:p w14:paraId="1825778A" w14:textId="77777777" w:rsidR="002944C1" w:rsidRPr="002944C1" w:rsidRDefault="002944C1" w:rsidP="002944C1">
            <w:pPr>
              <w:pStyle w:val="PL"/>
              <w:rPr>
                <w:sz w:val="14"/>
              </w:rPr>
            </w:pPr>
            <w:r w:rsidRPr="002944C1">
              <w:rPr>
                <w:sz w:val="14"/>
              </w:rPr>
              <w:t xml:space="preserve">    </w:t>
            </w:r>
            <w:r w:rsidRPr="002944C1">
              <w:rPr>
                <w:sz w:val="14"/>
                <w:highlight w:val="yellow"/>
              </w:rPr>
              <w:t>carrierBandwidth</w:t>
            </w:r>
            <w:r w:rsidRPr="002944C1">
              <w:rPr>
                <w:sz w:val="14"/>
              </w:rPr>
              <w:t xml:space="preserve">                    INTEGER (1..maxNrofPhysicalResourceBlocks),</w:t>
            </w:r>
          </w:p>
          <w:p w14:paraId="7067A30D" w14:textId="77777777" w:rsidR="002944C1" w:rsidRPr="002944C1" w:rsidRDefault="002944C1" w:rsidP="002944C1">
            <w:pPr>
              <w:pStyle w:val="PL"/>
              <w:rPr>
                <w:sz w:val="14"/>
              </w:rPr>
            </w:pPr>
            <w:r w:rsidRPr="002944C1">
              <w:rPr>
                <w:sz w:val="14"/>
              </w:rPr>
              <w:t xml:space="preserve">    ...,</w:t>
            </w:r>
          </w:p>
          <w:p w14:paraId="52E71339" w14:textId="77777777" w:rsidR="002944C1" w:rsidRPr="002944C1" w:rsidRDefault="002944C1" w:rsidP="002944C1">
            <w:pPr>
              <w:pStyle w:val="PL"/>
              <w:rPr>
                <w:sz w:val="14"/>
              </w:rPr>
            </w:pPr>
            <w:r w:rsidRPr="002944C1">
              <w:rPr>
                <w:sz w:val="14"/>
              </w:rPr>
              <w:t xml:space="preserve">    [[</w:t>
            </w:r>
          </w:p>
          <w:p w14:paraId="05D941F6" w14:textId="04FE927A" w:rsidR="002944C1" w:rsidRPr="002944C1" w:rsidRDefault="002944C1" w:rsidP="002944C1">
            <w:pPr>
              <w:pStyle w:val="PL"/>
              <w:rPr>
                <w:sz w:val="14"/>
              </w:rPr>
            </w:pPr>
            <w:r w:rsidRPr="002944C1">
              <w:rPr>
                <w:sz w:val="14"/>
              </w:rPr>
              <w:t xml:space="preserve">    txDirectCurrentLocation-v1530   INTEGER (0..4095)     OPTIONAL         -- Need S</w:t>
            </w:r>
          </w:p>
          <w:p w14:paraId="7AC41C15" w14:textId="77777777" w:rsidR="002944C1" w:rsidRPr="002944C1" w:rsidRDefault="002944C1" w:rsidP="002944C1">
            <w:pPr>
              <w:pStyle w:val="PL"/>
              <w:rPr>
                <w:sz w:val="14"/>
              </w:rPr>
            </w:pPr>
            <w:r w:rsidRPr="002944C1">
              <w:rPr>
                <w:sz w:val="14"/>
              </w:rPr>
              <w:t xml:space="preserve">    ]]</w:t>
            </w:r>
          </w:p>
          <w:p w14:paraId="507647CA" w14:textId="77777777" w:rsidR="002944C1" w:rsidRPr="002944C1" w:rsidRDefault="002944C1" w:rsidP="002944C1">
            <w:pPr>
              <w:pStyle w:val="PL"/>
              <w:rPr>
                <w:sz w:val="14"/>
              </w:rPr>
            </w:pPr>
            <w:r w:rsidRPr="002944C1">
              <w:rPr>
                <w:sz w:val="14"/>
              </w:rPr>
              <w:t>}</w:t>
            </w:r>
          </w:p>
          <w:p w14:paraId="64ACFB74" w14:textId="77777777" w:rsidR="002944C1" w:rsidRPr="002944C1" w:rsidRDefault="002944C1" w:rsidP="002944C1">
            <w:pPr>
              <w:pStyle w:val="PL"/>
              <w:rPr>
                <w:sz w:val="14"/>
              </w:rPr>
            </w:pPr>
          </w:p>
          <w:p w14:paraId="5B3780A2" w14:textId="77777777" w:rsidR="002944C1" w:rsidRPr="002944C1" w:rsidRDefault="002944C1" w:rsidP="002944C1">
            <w:pPr>
              <w:pStyle w:val="PL"/>
              <w:rPr>
                <w:sz w:val="14"/>
              </w:rPr>
            </w:pPr>
            <w:r w:rsidRPr="002944C1">
              <w:rPr>
                <w:sz w:val="14"/>
              </w:rPr>
              <w:t>-- TAG-SCS-SPECIFICCARRIER-STOP</w:t>
            </w:r>
          </w:p>
          <w:p w14:paraId="7B4EAB7A" w14:textId="77777777" w:rsidR="002944C1" w:rsidRPr="002944C1" w:rsidRDefault="002944C1" w:rsidP="002944C1">
            <w:pPr>
              <w:pStyle w:val="PL"/>
              <w:rPr>
                <w:sz w:val="14"/>
              </w:rPr>
            </w:pPr>
            <w:r w:rsidRPr="002944C1">
              <w:rPr>
                <w:sz w:val="14"/>
              </w:rPr>
              <w:t>-- ASN1STOP</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2944C1" w:rsidRPr="002944C1" w14:paraId="451683FF" w14:textId="77777777" w:rsidTr="002944C1">
              <w:tc>
                <w:tcPr>
                  <w:tcW w:w="9515" w:type="dxa"/>
                  <w:tcBorders>
                    <w:top w:val="single" w:sz="4" w:space="0" w:color="auto"/>
                    <w:left w:val="single" w:sz="4" w:space="0" w:color="auto"/>
                    <w:bottom w:val="single" w:sz="4" w:space="0" w:color="auto"/>
                    <w:right w:val="single" w:sz="4" w:space="0" w:color="auto"/>
                  </w:tcBorders>
                  <w:hideMark/>
                </w:tcPr>
                <w:p w14:paraId="13DDF541" w14:textId="77777777" w:rsidR="002944C1" w:rsidRPr="002944C1" w:rsidRDefault="002944C1" w:rsidP="002944C1">
                  <w:pPr>
                    <w:pStyle w:val="TAH"/>
                    <w:spacing w:after="0"/>
                    <w:rPr>
                      <w:rFonts w:eastAsia="MS Mincho"/>
                      <w:szCs w:val="22"/>
                      <w:lang w:eastAsia="ja-JP"/>
                    </w:rPr>
                  </w:pPr>
                  <w:r w:rsidRPr="002944C1">
                    <w:rPr>
                      <w:rFonts w:eastAsia="MS Mincho"/>
                      <w:i/>
                      <w:szCs w:val="22"/>
                      <w:lang w:eastAsia="ja-JP"/>
                    </w:rPr>
                    <w:t xml:space="preserve">SCS-SpecificCarrier </w:t>
                  </w:r>
                  <w:r w:rsidRPr="002944C1">
                    <w:rPr>
                      <w:rFonts w:eastAsia="MS Mincho"/>
                      <w:szCs w:val="22"/>
                      <w:lang w:eastAsia="ja-JP"/>
                    </w:rPr>
                    <w:t>field descriptions</w:t>
                  </w:r>
                </w:p>
              </w:tc>
            </w:tr>
            <w:tr w:rsidR="002944C1" w:rsidRPr="002944C1" w14:paraId="69F34E82" w14:textId="77777777" w:rsidTr="002944C1">
              <w:tc>
                <w:tcPr>
                  <w:tcW w:w="9515" w:type="dxa"/>
                  <w:tcBorders>
                    <w:top w:val="single" w:sz="4" w:space="0" w:color="auto"/>
                    <w:left w:val="single" w:sz="4" w:space="0" w:color="auto"/>
                    <w:bottom w:val="single" w:sz="4" w:space="0" w:color="auto"/>
                    <w:right w:val="single" w:sz="4" w:space="0" w:color="auto"/>
                  </w:tcBorders>
                  <w:hideMark/>
                </w:tcPr>
                <w:p w14:paraId="0BD2AF1F" w14:textId="77777777" w:rsidR="002944C1" w:rsidRPr="002944C1" w:rsidRDefault="002944C1" w:rsidP="002944C1">
                  <w:pPr>
                    <w:pStyle w:val="TAL"/>
                    <w:spacing w:after="0"/>
                    <w:rPr>
                      <w:rFonts w:eastAsia="MS Mincho"/>
                      <w:lang w:val="en-GB" w:eastAsia="ja-JP"/>
                    </w:rPr>
                  </w:pPr>
                  <w:r w:rsidRPr="002944C1">
                    <w:rPr>
                      <w:rFonts w:eastAsia="MS Mincho"/>
                      <w:b/>
                      <w:i/>
                      <w:lang w:val="en-GB" w:eastAsia="ja-JP"/>
                    </w:rPr>
                    <w:t>carrierBandwidth</w:t>
                  </w:r>
                </w:p>
                <w:p w14:paraId="2C94F7CD" w14:textId="77777777" w:rsidR="002944C1" w:rsidRPr="002944C1" w:rsidRDefault="002944C1" w:rsidP="002944C1">
                  <w:pPr>
                    <w:pStyle w:val="TAL"/>
                    <w:spacing w:after="0"/>
                    <w:rPr>
                      <w:rFonts w:eastAsia="MS Mincho"/>
                      <w:lang w:val="en-GB" w:eastAsia="ja-JP"/>
                    </w:rPr>
                  </w:pPr>
                  <w:r w:rsidRPr="002944C1">
                    <w:rPr>
                      <w:rFonts w:eastAsia="MS Mincho"/>
                      <w:lang w:val="en-GB" w:eastAsia="ja-JP"/>
                    </w:rPr>
                    <w:t xml:space="preserve">Width of this carrier in number of PRBs (using the </w:t>
                  </w:r>
                  <w:r w:rsidRPr="002944C1">
                    <w:rPr>
                      <w:rFonts w:eastAsia="MS Mincho"/>
                      <w:i/>
                      <w:lang w:val="en-GB" w:eastAsia="ja-JP"/>
                    </w:rPr>
                    <w:t>subcarrierSpacing</w:t>
                  </w:r>
                  <w:r w:rsidRPr="002944C1">
                    <w:rPr>
                      <w:rFonts w:eastAsia="MS Mincho"/>
                      <w:lang w:val="en-GB" w:eastAsia="ja-JP"/>
                    </w:rPr>
                    <w:t xml:space="preserve"> defined for this carrier) (see TS 38.211 [16], clause 4.4.2).</w:t>
                  </w:r>
                </w:p>
              </w:tc>
            </w:tr>
            <w:tr w:rsidR="002944C1" w:rsidRPr="002944C1" w14:paraId="2A094169" w14:textId="77777777" w:rsidTr="002944C1">
              <w:tc>
                <w:tcPr>
                  <w:tcW w:w="9515" w:type="dxa"/>
                  <w:tcBorders>
                    <w:top w:val="single" w:sz="4" w:space="0" w:color="auto"/>
                    <w:left w:val="single" w:sz="4" w:space="0" w:color="auto"/>
                    <w:bottom w:val="single" w:sz="4" w:space="0" w:color="auto"/>
                    <w:right w:val="single" w:sz="4" w:space="0" w:color="auto"/>
                  </w:tcBorders>
                  <w:hideMark/>
                </w:tcPr>
                <w:p w14:paraId="3617C5AB" w14:textId="77777777" w:rsidR="002944C1" w:rsidRPr="002944C1" w:rsidRDefault="002944C1" w:rsidP="002944C1">
                  <w:pPr>
                    <w:pStyle w:val="TAL"/>
                    <w:spacing w:after="0"/>
                    <w:rPr>
                      <w:rFonts w:eastAsia="MS Mincho"/>
                      <w:lang w:val="en-GB" w:eastAsia="ja-JP"/>
                    </w:rPr>
                  </w:pPr>
                  <w:r w:rsidRPr="002944C1">
                    <w:rPr>
                      <w:rFonts w:eastAsia="MS Mincho"/>
                      <w:b/>
                      <w:i/>
                      <w:lang w:val="en-GB" w:eastAsia="ja-JP"/>
                    </w:rPr>
                    <w:t>offsetToCarrier</w:t>
                  </w:r>
                </w:p>
                <w:p w14:paraId="4906EEF0" w14:textId="77777777" w:rsidR="002944C1" w:rsidRPr="002944C1" w:rsidRDefault="002944C1" w:rsidP="002944C1">
                  <w:pPr>
                    <w:pStyle w:val="TAL"/>
                    <w:spacing w:after="0"/>
                    <w:rPr>
                      <w:rFonts w:eastAsia="MS Mincho"/>
                      <w:lang w:val="en-GB" w:eastAsia="ja-JP"/>
                    </w:rPr>
                  </w:pPr>
                  <w:r w:rsidRPr="002944C1">
                    <w:rPr>
                      <w:rFonts w:eastAsia="MS Mincho"/>
                      <w:lang w:val="en-GB" w:eastAsia="ja-JP"/>
                    </w:rPr>
                    <w:t xml:space="preserve">Offset in frequency domain </w:t>
                  </w:r>
                  <w:r w:rsidRPr="003019C3">
                    <w:rPr>
                      <w:rFonts w:eastAsia="MS Mincho"/>
                      <w:lang w:val="en-GB" w:eastAsia="ja-JP"/>
                    </w:rPr>
                    <w:t>between Point A (lowest</w:t>
                  </w:r>
                  <w:r w:rsidRPr="002944C1">
                    <w:rPr>
                      <w:rFonts w:eastAsia="MS Mincho"/>
                      <w:lang w:val="en-GB" w:eastAsia="ja-JP"/>
                    </w:rPr>
                    <w:t xml:space="preserve"> subcarrier of common RB 0) and the lowest usable subcarrier on this carrier in number of PRBs (using the subcarrierSpacing defined for this carrier). The maximum value corresponds to 275*8-1. See TS 38.211 [16], clause 4.4.2.</w:t>
                  </w:r>
                </w:p>
              </w:tc>
            </w:tr>
          </w:tbl>
          <w:p w14:paraId="0B158347" w14:textId="77777777" w:rsidR="002944C1" w:rsidRPr="002944C1" w:rsidRDefault="002944C1" w:rsidP="002944C1">
            <w:pPr>
              <w:spacing w:after="0"/>
              <w:rPr>
                <w:sz w:val="18"/>
                <w:lang w:eastAsia="x-none"/>
              </w:rPr>
            </w:pPr>
          </w:p>
        </w:tc>
      </w:tr>
    </w:tbl>
    <w:p w14:paraId="44F79E49" w14:textId="77777777" w:rsidR="002944C1" w:rsidRDefault="002944C1" w:rsidP="002944C1">
      <w:pPr>
        <w:rPr>
          <w:lang w:eastAsia="x-none"/>
        </w:rPr>
      </w:pPr>
    </w:p>
    <w:p w14:paraId="380F7261" w14:textId="11DE07AC" w:rsidR="00832939" w:rsidRPr="00832939" w:rsidRDefault="00832939" w:rsidP="00DE5D2C">
      <w:pPr>
        <w:pStyle w:val="Caption"/>
        <w:jc w:val="both"/>
        <w:rPr>
          <w:lang w:val="en-US"/>
        </w:rPr>
      </w:pPr>
      <w:bookmarkStart w:id="0" w:name="_Ref31211377"/>
      <w:r>
        <w:t xml:space="preserve">Observation </w:t>
      </w:r>
      <w:r w:rsidR="00F00DF1">
        <w:rPr>
          <w:noProof/>
        </w:rPr>
        <w:fldChar w:fldCharType="begin"/>
      </w:r>
      <w:r w:rsidR="00F00DF1">
        <w:rPr>
          <w:noProof/>
        </w:rPr>
        <w:instrText xml:space="preserve"> SEQ Observation \* ARABIC </w:instrText>
      </w:r>
      <w:r w:rsidR="00F00DF1">
        <w:rPr>
          <w:noProof/>
        </w:rPr>
        <w:fldChar w:fldCharType="separate"/>
      </w:r>
      <w:r w:rsidR="003019C3">
        <w:rPr>
          <w:noProof/>
        </w:rPr>
        <w:t>1</w:t>
      </w:r>
      <w:r w:rsidR="00F00DF1">
        <w:rPr>
          <w:noProof/>
        </w:rPr>
        <w:fldChar w:fldCharType="end"/>
      </w:r>
      <w:r>
        <w:rPr>
          <w:lang w:val="en-US"/>
        </w:rPr>
        <w:t>: C</w:t>
      </w:r>
      <w:r w:rsidRPr="00832939">
        <w:rPr>
          <w:lang w:val="en-US"/>
        </w:rPr>
        <w:t xml:space="preserve">hanging UE specific channel bandwidth means to signal </w:t>
      </w:r>
      <w:r>
        <w:rPr>
          <w:lang w:val="en-US"/>
        </w:rPr>
        <w:t xml:space="preserve">a </w:t>
      </w:r>
      <w:r w:rsidRPr="00832939">
        <w:rPr>
          <w:lang w:val="en-US"/>
        </w:rPr>
        <w:t xml:space="preserve">different values for either </w:t>
      </w:r>
      <w:r w:rsidR="00DE5D2C" w:rsidRPr="00832939">
        <w:rPr>
          <w:lang w:val="en-US"/>
        </w:rPr>
        <w:t xml:space="preserve">carrierBandwidth </w:t>
      </w:r>
      <w:r w:rsidRPr="00832939">
        <w:rPr>
          <w:lang w:val="en-US"/>
        </w:rPr>
        <w:t>or</w:t>
      </w:r>
      <w:r w:rsidR="00DE5D2C" w:rsidRPr="00DE5D2C">
        <w:rPr>
          <w:lang w:val="en-US"/>
        </w:rPr>
        <w:t xml:space="preserve"> </w:t>
      </w:r>
      <w:r w:rsidR="00DE5D2C" w:rsidRPr="00832939">
        <w:rPr>
          <w:lang w:val="en-US"/>
        </w:rPr>
        <w:t>offsetToCarrier</w:t>
      </w:r>
      <w:r>
        <w:rPr>
          <w:lang w:val="en-US"/>
        </w:rPr>
        <w:t>.</w:t>
      </w:r>
      <w:bookmarkEnd w:id="0"/>
    </w:p>
    <w:p w14:paraId="446726DE" w14:textId="3842E39F" w:rsidR="00554309" w:rsidRDefault="00554309" w:rsidP="003019C3">
      <w:pPr>
        <w:jc w:val="both"/>
        <w:rPr>
          <w:lang w:eastAsia="x-none"/>
        </w:rPr>
      </w:pPr>
      <w:r>
        <w:rPr>
          <w:lang w:eastAsia="x-none"/>
        </w:rPr>
        <w:t xml:space="preserve">We note that the IE </w:t>
      </w:r>
      <w:r w:rsidRPr="00554309">
        <w:rPr>
          <w:rFonts w:ascii="Times New Roman" w:hAnsi="Times New Roman" w:cs="Times New Roman"/>
          <w:i/>
        </w:rPr>
        <w:t>offsetToCarrier</w:t>
      </w:r>
      <w:r w:rsidRPr="00554309">
        <w:t xml:space="preserve"> </w:t>
      </w:r>
      <w:r>
        <w:rPr>
          <w:lang w:eastAsia="x-none"/>
        </w:rPr>
        <w:t>is also used to determine the location and bandwidth of a BWP, i.e., the 1</w:t>
      </w:r>
      <w:r w:rsidRPr="00554309">
        <w:rPr>
          <w:vertAlign w:val="superscript"/>
          <w:lang w:eastAsia="x-none"/>
        </w:rPr>
        <w:t>st</w:t>
      </w:r>
      <w:r>
        <w:rPr>
          <w:lang w:eastAsia="x-none"/>
        </w:rPr>
        <w:t xml:space="preserve"> PRB referenced by </w:t>
      </w:r>
      <w:r w:rsidRPr="00554309">
        <w:rPr>
          <w:rFonts w:ascii="Times New Roman" w:hAnsi="Times New Roman" w:cs="Times New Roman"/>
          <w:i/>
        </w:rPr>
        <w:t>locationAndBandwidth</w:t>
      </w:r>
      <w:r>
        <w:rPr>
          <w:lang w:eastAsia="x-none"/>
        </w:rPr>
        <w:t xml:space="preserve"> of a BWP is </w:t>
      </w:r>
      <w:r w:rsidR="00E24029">
        <w:rPr>
          <w:lang w:eastAsia="x-none"/>
        </w:rPr>
        <w:t>derived from both</w:t>
      </w:r>
      <w:r w:rsidRPr="00A047D1">
        <w:rPr>
          <w:lang w:val="en-GB" w:eastAsia="ja-JP"/>
        </w:rPr>
        <w:t xml:space="preserve"> </w:t>
      </w:r>
      <w:r w:rsidRPr="00554309">
        <w:rPr>
          <w:rFonts w:ascii="Times New Roman" w:hAnsi="Times New Roman" w:cs="Times New Roman"/>
          <w:i/>
        </w:rPr>
        <w:t>subcarrierSpacing</w:t>
      </w:r>
      <w:r w:rsidRPr="00A047D1">
        <w:rPr>
          <w:lang w:val="en-GB" w:eastAsia="ja-JP"/>
        </w:rPr>
        <w:t xml:space="preserve"> of this BWP and </w:t>
      </w:r>
      <w:r w:rsidRPr="00554309">
        <w:rPr>
          <w:rFonts w:ascii="Times New Roman" w:hAnsi="Times New Roman" w:cs="Times New Roman"/>
          <w:i/>
        </w:rPr>
        <w:t>offsetToCarrier</w:t>
      </w:r>
      <w:r w:rsidRPr="00554309">
        <w:rPr>
          <w:lang w:val="en-GB"/>
        </w:rPr>
        <w:t>.</w:t>
      </w:r>
    </w:p>
    <w:tbl>
      <w:tblPr>
        <w:tblStyle w:val="TableGrid"/>
        <w:tblW w:w="0" w:type="auto"/>
        <w:tblLook w:val="04A0" w:firstRow="1" w:lastRow="0" w:firstColumn="1" w:lastColumn="0" w:noHBand="0" w:noVBand="1"/>
      </w:tblPr>
      <w:tblGrid>
        <w:gridCol w:w="9629"/>
      </w:tblGrid>
      <w:tr w:rsidR="00554309" w14:paraId="6C89D134" w14:textId="77777777" w:rsidTr="00554309">
        <w:tc>
          <w:tcPr>
            <w:tcW w:w="9629" w:type="dxa"/>
          </w:tcPr>
          <w:p w14:paraId="5CAFE3E5" w14:textId="77777777" w:rsidR="00554309" w:rsidRPr="00A047D1" w:rsidRDefault="00554309" w:rsidP="00554309">
            <w:pPr>
              <w:pStyle w:val="TH"/>
              <w:spacing w:before="0" w:after="0"/>
              <w:rPr>
                <w:lang w:val="en-GB"/>
              </w:rPr>
            </w:pPr>
            <w:r w:rsidRPr="00A047D1">
              <w:rPr>
                <w:i/>
                <w:lang w:val="en-GB"/>
              </w:rPr>
              <w:lastRenderedPageBreak/>
              <w:t>BWP</w:t>
            </w:r>
            <w:r w:rsidRPr="00A047D1">
              <w:rPr>
                <w:lang w:val="en-GB"/>
              </w:rPr>
              <w:t xml:space="preserve"> information element</w:t>
            </w:r>
          </w:p>
          <w:p w14:paraId="62C6A912" w14:textId="77777777" w:rsidR="00554309" w:rsidRPr="00554309" w:rsidRDefault="00554309" w:rsidP="00554309">
            <w:pPr>
              <w:pStyle w:val="PL"/>
              <w:rPr>
                <w:sz w:val="14"/>
              </w:rPr>
            </w:pPr>
            <w:r w:rsidRPr="00554309">
              <w:rPr>
                <w:sz w:val="14"/>
              </w:rPr>
              <w:t>-- ASN1START</w:t>
            </w:r>
          </w:p>
          <w:p w14:paraId="7A51126B" w14:textId="77777777" w:rsidR="00554309" w:rsidRPr="00554309" w:rsidRDefault="00554309" w:rsidP="00554309">
            <w:pPr>
              <w:pStyle w:val="PL"/>
              <w:rPr>
                <w:sz w:val="14"/>
              </w:rPr>
            </w:pPr>
            <w:r w:rsidRPr="00554309">
              <w:rPr>
                <w:sz w:val="14"/>
              </w:rPr>
              <w:t>-- TAG-BWP-START</w:t>
            </w:r>
          </w:p>
          <w:p w14:paraId="133C8EE1" w14:textId="77777777" w:rsidR="00554309" w:rsidRPr="00554309" w:rsidRDefault="00554309" w:rsidP="00554309">
            <w:pPr>
              <w:pStyle w:val="PL"/>
              <w:rPr>
                <w:sz w:val="14"/>
              </w:rPr>
            </w:pPr>
          </w:p>
          <w:p w14:paraId="154218E5" w14:textId="77777777" w:rsidR="00554309" w:rsidRPr="00554309" w:rsidRDefault="00554309" w:rsidP="00554309">
            <w:pPr>
              <w:pStyle w:val="PL"/>
              <w:rPr>
                <w:sz w:val="14"/>
              </w:rPr>
            </w:pPr>
            <w:r w:rsidRPr="00554309">
              <w:rPr>
                <w:sz w:val="14"/>
              </w:rPr>
              <w:t>BWP ::=                             SEQUENCE {</w:t>
            </w:r>
          </w:p>
          <w:p w14:paraId="23C1C3CA" w14:textId="062F275E" w:rsidR="00554309" w:rsidRPr="00554309" w:rsidRDefault="00554309" w:rsidP="00554309">
            <w:pPr>
              <w:pStyle w:val="PL"/>
              <w:rPr>
                <w:sz w:val="14"/>
              </w:rPr>
            </w:pPr>
            <w:r w:rsidRPr="00554309">
              <w:rPr>
                <w:sz w:val="14"/>
              </w:rPr>
              <w:t xml:space="preserve">    locationAndBandwidth              INTEGER (0..37949),</w:t>
            </w:r>
          </w:p>
          <w:p w14:paraId="5B80D181" w14:textId="4C0B9B0C" w:rsidR="00554309" w:rsidRPr="00554309" w:rsidRDefault="00554309" w:rsidP="00554309">
            <w:pPr>
              <w:pStyle w:val="PL"/>
              <w:rPr>
                <w:sz w:val="14"/>
              </w:rPr>
            </w:pPr>
            <w:r w:rsidRPr="00554309">
              <w:rPr>
                <w:sz w:val="14"/>
              </w:rPr>
              <w:t xml:space="preserve">    subcarrierSpacing                  SubcarrierSpacing,</w:t>
            </w:r>
          </w:p>
          <w:p w14:paraId="77F239BF" w14:textId="1C8F99CA" w:rsidR="00554309" w:rsidRPr="00554309" w:rsidRDefault="00554309" w:rsidP="00554309">
            <w:pPr>
              <w:pStyle w:val="PL"/>
              <w:rPr>
                <w:sz w:val="14"/>
              </w:rPr>
            </w:pPr>
            <w:r w:rsidRPr="00554309">
              <w:rPr>
                <w:sz w:val="14"/>
              </w:rPr>
              <w:t xml:space="preserve">    cyclicPrefix                        ENUMERATED { extended }              OPTIONAL    -- Need R</w:t>
            </w:r>
          </w:p>
          <w:p w14:paraId="229E4634" w14:textId="77777777" w:rsidR="00554309" w:rsidRPr="00554309" w:rsidRDefault="00554309" w:rsidP="00554309">
            <w:pPr>
              <w:pStyle w:val="PL"/>
              <w:rPr>
                <w:sz w:val="14"/>
              </w:rPr>
            </w:pPr>
            <w:r w:rsidRPr="00554309">
              <w:rPr>
                <w:sz w:val="14"/>
              </w:rPr>
              <w:t>}</w:t>
            </w:r>
          </w:p>
          <w:p w14:paraId="2CF80F6F" w14:textId="77777777" w:rsidR="00554309" w:rsidRPr="00554309" w:rsidRDefault="00554309" w:rsidP="00554309">
            <w:pPr>
              <w:pStyle w:val="PL"/>
              <w:rPr>
                <w:sz w:val="14"/>
              </w:rPr>
            </w:pPr>
          </w:p>
          <w:p w14:paraId="4374E74C" w14:textId="77777777" w:rsidR="00554309" w:rsidRPr="00554309" w:rsidRDefault="00554309" w:rsidP="00554309">
            <w:pPr>
              <w:pStyle w:val="PL"/>
              <w:rPr>
                <w:sz w:val="14"/>
              </w:rPr>
            </w:pPr>
          </w:p>
          <w:p w14:paraId="76DA1D81" w14:textId="77777777" w:rsidR="00554309" w:rsidRPr="00554309" w:rsidRDefault="00554309" w:rsidP="00554309">
            <w:pPr>
              <w:pStyle w:val="PL"/>
              <w:rPr>
                <w:sz w:val="14"/>
              </w:rPr>
            </w:pPr>
            <w:r w:rsidRPr="00554309">
              <w:rPr>
                <w:sz w:val="14"/>
              </w:rPr>
              <w:t>-- TAG-BWP-STOP</w:t>
            </w:r>
          </w:p>
          <w:p w14:paraId="28AAE855" w14:textId="77777777" w:rsidR="00554309" w:rsidRPr="00554309" w:rsidRDefault="00554309" w:rsidP="00554309">
            <w:pPr>
              <w:pStyle w:val="PL"/>
              <w:rPr>
                <w:sz w:val="14"/>
              </w:rPr>
            </w:pPr>
            <w:r w:rsidRPr="00554309">
              <w:rPr>
                <w:sz w:val="14"/>
              </w:rPr>
              <w:t>-- ASN1STOP</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554309" w:rsidRPr="00A047D1" w14:paraId="36DAC5B6" w14:textId="77777777" w:rsidTr="00554309">
              <w:tc>
                <w:tcPr>
                  <w:tcW w:w="9515" w:type="dxa"/>
                  <w:tcBorders>
                    <w:top w:val="single" w:sz="4" w:space="0" w:color="auto"/>
                    <w:left w:val="single" w:sz="4" w:space="0" w:color="auto"/>
                    <w:bottom w:val="single" w:sz="4" w:space="0" w:color="auto"/>
                    <w:right w:val="single" w:sz="4" w:space="0" w:color="auto"/>
                  </w:tcBorders>
                  <w:hideMark/>
                </w:tcPr>
                <w:p w14:paraId="714D203D" w14:textId="77777777" w:rsidR="00554309" w:rsidRPr="00A047D1" w:rsidRDefault="00554309" w:rsidP="00554309">
                  <w:pPr>
                    <w:pStyle w:val="TAH"/>
                    <w:spacing w:after="0"/>
                    <w:rPr>
                      <w:szCs w:val="22"/>
                      <w:lang w:eastAsia="ja-JP"/>
                    </w:rPr>
                  </w:pPr>
                  <w:r w:rsidRPr="00A047D1">
                    <w:rPr>
                      <w:i/>
                      <w:szCs w:val="22"/>
                      <w:lang w:eastAsia="ja-JP"/>
                    </w:rPr>
                    <w:t xml:space="preserve">BWP </w:t>
                  </w:r>
                  <w:r w:rsidRPr="00A047D1">
                    <w:rPr>
                      <w:szCs w:val="22"/>
                      <w:lang w:eastAsia="ja-JP"/>
                    </w:rPr>
                    <w:t>field descriptions</w:t>
                  </w:r>
                </w:p>
              </w:tc>
            </w:tr>
            <w:tr w:rsidR="00554309" w:rsidRPr="00A047D1" w14:paraId="15598773" w14:textId="77777777" w:rsidTr="00554309">
              <w:tc>
                <w:tcPr>
                  <w:tcW w:w="9515" w:type="dxa"/>
                  <w:tcBorders>
                    <w:top w:val="single" w:sz="4" w:space="0" w:color="auto"/>
                    <w:left w:val="single" w:sz="4" w:space="0" w:color="auto"/>
                    <w:bottom w:val="single" w:sz="4" w:space="0" w:color="auto"/>
                    <w:right w:val="single" w:sz="4" w:space="0" w:color="auto"/>
                  </w:tcBorders>
                  <w:hideMark/>
                </w:tcPr>
                <w:p w14:paraId="5AAB9578" w14:textId="77777777" w:rsidR="00554309" w:rsidRPr="00A047D1" w:rsidRDefault="00554309" w:rsidP="00554309">
                  <w:pPr>
                    <w:pStyle w:val="TAL"/>
                    <w:spacing w:after="0"/>
                    <w:rPr>
                      <w:lang w:val="en-GB" w:eastAsia="ja-JP"/>
                    </w:rPr>
                  </w:pPr>
                  <w:r w:rsidRPr="00A047D1">
                    <w:rPr>
                      <w:b/>
                      <w:i/>
                      <w:lang w:val="en-GB" w:eastAsia="ja-JP"/>
                    </w:rPr>
                    <w:t>locationAndBandwidth</w:t>
                  </w:r>
                </w:p>
                <w:p w14:paraId="03920F17" w14:textId="77777777" w:rsidR="00554309" w:rsidRPr="00A047D1" w:rsidRDefault="00554309" w:rsidP="00554309">
                  <w:pPr>
                    <w:pStyle w:val="TAL"/>
                    <w:spacing w:after="0"/>
                    <w:rPr>
                      <w:lang w:val="en-GB" w:eastAsia="ja-JP"/>
                    </w:rPr>
                  </w:pPr>
                  <w:r w:rsidRPr="00A047D1">
                    <w:rPr>
                      <w:lang w:val="en-GB" w:eastAsia="ja-JP"/>
                    </w:rPr>
                    <w:t xml:space="preserve">Frequency domain location and bandwidth of this bandwidth part. The value of the field shall be interpreted as resource indicator value (RIV) as defined TS 38.214 [19] with assumptions as described in TS 38.213 [13], clause 12, i.e. setting </w:t>
                  </w:r>
                  <w:r w:rsidRPr="00A047D1">
                    <w:rPr>
                      <w:position w:val="-10"/>
                      <w:lang w:val="en-GB" w:eastAsia="ja-JP"/>
                    </w:rPr>
                    <w:object w:dxaOrig="570" w:dyaOrig="435" w14:anchorId="5346C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1.85pt" o:ole="">
                        <v:imagedata r:id="rId8" o:title=""/>
                      </v:shape>
                      <o:OLEObject Type="Embed" ProgID="Equation.3" ShapeID="_x0000_i1025" DrawAspect="Content" ObjectID="_1643142728" r:id="rId9"/>
                    </w:object>
                  </w:r>
                  <w:r w:rsidRPr="00A047D1">
                    <w:rPr>
                      <w:lang w:val="en-GB" w:eastAsia="ja-JP"/>
                    </w:rPr>
                    <w:t xml:space="preserve">=275. The first PRB is a PRB determined by </w:t>
                  </w:r>
                  <w:r w:rsidRPr="00E24029">
                    <w:rPr>
                      <w:i/>
                      <w:highlight w:val="yellow"/>
                      <w:lang w:val="en-GB"/>
                    </w:rPr>
                    <w:t>subcarrierSpacing</w:t>
                  </w:r>
                  <w:r w:rsidRPr="00A047D1">
                    <w:rPr>
                      <w:lang w:val="en-GB" w:eastAsia="ja-JP"/>
                    </w:rPr>
                    <w:t xml:space="preserve"> of this BWP and </w:t>
                  </w:r>
                  <w:r w:rsidRPr="00E24029">
                    <w:rPr>
                      <w:i/>
                      <w:highlight w:val="yellow"/>
                      <w:lang w:val="en-GB"/>
                    </w:rPr>
                    <w:t>offsetToCarrier</w:t>
                  </w:r>
                  <w:r w:rsidRPr="00A047D1">
                    <w:rPr>
                      <w:lang w:val="en-GB" w:eastAsia="ja-JP"/>
                    </w:rPr>
                    <w:t xml:space="preserve"> (configured in </w:t>
                  </w:r>
                  <w:r w:rsidRPr="00A047D1">
                    <w:rPr>
                      <w:i/>
                      <w:lang w:val="en-GB"/>
                    </w:rPr>
                    <w:t>SCS-SpecificCarrier</w:t>
                  </w:r>
                  <w:r w:rsidRPr="00A047D1">
                    <w:rPr>
                      <w:lang w:val="en-GB" w:eastAsia="ja-JP"/>
                    </w:rPr>
                    <w:t xml:space="preserve"> contained within </w:t>
                  </w:r>
                  <w:r w:rsidRPr="00A047D1">
                    <w:rPr>
                      <w:i/>
                      <w:lang w:val="en-GB"/>
                    </w:rPr>
                    <w:t>FrequencyInfoDL</w:t>
                  </w:r>
                  <w:r w:rsidRPr="00A047D1">
                    <w:rPr>
                      <w:lang w:val="en-GB" w:eastAsia="ja-JP"/>
                    </w:rPr>
                    <w:t xml:space="preserve"> / </w:t>
                  </w:r>
                  <w:r w:rsidRPr="00A047D1">
                    <w:rPr>
                      <w:i/>
                      <w:lang w:val="en-GB"/>
                    </w:rPr>
                    <w:t>FrequencyInfoUL</w:t>
                  </w:r>
                  <w:r w:rsidRPr="00A047D1">
                    <w:rPr>
                      <w:lang w:val="en-GB" w:eastAsia="ja-JP"/>
                    </w:rPr>
                    <w:t xml:space="preserve"> / </w:t>
                  </w:r>
                  <w:r w:rsidRPr="00A047D1">
                    <w:rPr>
                      <w:i/>
                      <w:lang w:val="en-GB"/>
                    </w:rPr>
                    <w:t>FrequencyInfoUL-SIB</w:t>
                  </w:r>
                  <w:r w:rsidRPr="00A047D1">
                    <w:rPr>
                      <w:lang w:val="en-GB" w:eastAsia="ja-JP"/>
                    </w:rPr>
                    <w:t xml:space="preserve"> / </w:t>
                  </w:r>
                  <w:r w:rsidRPr="00A047D1">
                    <w:rPr>
                      <w:i/>
                      <w:lang w:val="en-GB"/>
                    </w:rPr>
                    <w:t>FrequencyInfoDL-SIB</w:t>
                  </w:r>
                  <w:r w:rsidRPr="00A047D1">
                    <w:rPr>
                      <w:lang w:val="en-GB" w:eastAsia="ja-JP"/>
                    </w:rPr>
                    <w:t xml:space="preserve"> within </w:t>
                  </w:r>
                  <w:r w:rsidRPr="00A047D1">
                    <w:rPr>
                      <w:i/>
                      <w:lang w:val="en-GB" w:eastAsia="ja-JP"/>
                    </w:rPr>
                    <w:t>ServingCellConfigCommon</w:t>
                  </w:r>
                  <w:r w:rsidRPr="00A047D1">
                    <w:rPr>
                      <w:lang w:val="en-GB" w:eastAsia="ja-JP"/>
                    </w:rPr>
                    <w:t xml:space="preserve"> / </w:t>
                  </w:r>
                  <w:r w:rsidRPr="00A047D1">
                    <w:rPr>
                      <w:i/>
                      <w:lang w:val="en-GB" w:eastAsia="ja-JP"/>
                    </w:rPr>
                    <w:t>ServingCellConfigCommonSIB1</w:t>
                  </w:r>
                  <w:r w:rsidRPr="00A047D1">
                    <w:rPr>
                      <w:lang w:val="en-GB" w:eastAsia="ja-JP"/>
                    </w:rPr>
                    <w:t xml:space="preserve">) corresponding to this subcarrier spacing. In case of TDD, a BWP-pair (UL BWP and DL BWP with the same </w:t>
                  </w:r>
                  <w:r w:rsidRPr="00A047D1">
                    <w:rPr>
                      <w:i/>
                      <w:lang w:val="en-GB"/>
                    </w:rPr>
                    <w:t>bwp-Id</w:t>
                  </w:r>
                  <w:r w:rsidRPr="00A047D1">
                    <w:rPr>
                      <w:lang w:val="en-GB" w:eastAsia="ja-JP"/>
                    </w:rPr>
                    <w:t>) must have the same center frequency (see TS 38.213 [13], clause 12)</w:t>
                  </w:r>
                </w:p>
              </w:tc>
            </w:tr>
          </w:tbl>
          <w:p w14:paraId="4208F41D" w14:textId="77777777" w:rsidR="00554309" w:rsidRDefault="00554309" w:rsidP="002944C1">
            <w:pPr>
              <w:rPr>
                <w:lang w:eastAsia="x-none"/>
              </w:rPr>
            </w:pPr>
          </w:p>
        </w:tc>
      </w:tr>
    </w:tbl>
    <w:p w14:paraId="5BA3CF02" w14:textId="77777777" w:rsidR="00554309" w:rsidRDefault="00554309" w:rsidP="002944C1">
      <w:pPr>
        <w:rPr>
          <w:lang w:eastAsia="x-none"/>
        </w:rPr>
      </w:pPr>
    </w:p>
    <w:p w14:paraId="0A436A22" w14:textId="33B8DA8F" w:rsidR="004F09D8" w:rsidRDefault="00554309" w:rsidP="003019C3">
      <w:pPr>
        <w:jc w:val="both"/>
        <w:rPr>
          <w:lang w:eastAsia="x-none"/>
        </w:rPr>
      </w:pPr>
      <w:r>
        <w:rPr>
          <w:lang w:eastAsia="x-none"/>
        </w:rPr>
        <w:t xml:space="preserve">Therefore, according to the current signaling structure, changing UE-specific channel BW may </w:t>
      </w:r>
      <w:r w:rsidR="003019C3">
        <w:rPr>
          <w:lang w:eastAsia="x-none"/>
        </w:rPr>
        <w:t>or may not</w:t>
      </w:r>
      <w:r>
        <w:rPr>
          <w:lang w:eastAsia="x-none"/>
        </w:rPr>
        <w:t xml:space="preserve"> involve change on </w:t>
      </w:r>
      <w:r w:rsidR="00C16412">
        <w:rPr>
          <w:lang w:eastAsia="x-none"/>
        </w:rPr>
        <w:t xml:space="preserve">the frequency location of </w:t>
      </w:r>
      <w:r>
        <w:rPr>
          <w:lang w:eastAsia="x-none"/>
        </w:rPr>
        <w:t>UE-specific BWP.</w:t>
      </w:r>
    </w:p>
    <w:p w14:paraId="67E17974" w14:textId="2240DD62" w:rsidR="003019C3" w:rsidRPr="003019C3" w:rsidRDefault="003019C3" w:rsidP="00DE5D2C">
      <w:pPr>
        <w:pStyle w:val="Caption"/>
        <w:jc w:val="both"/>
        <w:rPr>
          <w:lang w:val="en-US"/>
        </w:rPr>
      </w:pPr>
      <w:bookmarkStart w:id="1" w:name="_Ref31211379"/>
      <w:r>
        <w:t xml:space="preserve">Observation </w:t>
      </w:r>
      <w:r w:rsidR="00F00DF1">
        <w:rPr>
          <w:noProof/>
        </w:rPr>
        <w:fldChar w:fldCharType="begin"/>
      </w:r>
      <w:r w:rsidR="00F00DF1">
        <w:rPr>
          <w:noProof/>
        </w:rPr>
        <w:instrText xml:space="preserve"> SEQ Observation \* ARABIC </w:instrText>
      </w:r>
      <w:r w:rsidR="00F00DF1">
        <w:rPr>
          <w:noProof/>
        </w:rPr>
        <w:fldChar w:fldCharType="separate"/>
      </w:r>
      <w:r>
        <w:rPr>
          <w:noProof/>
        </w:rPr>
        <w:t>2</w:t>
      </w:r>
      <w:r w:rsidR="00F00DF1">
        <w:rPr>
          <w:noProof/>
        </w:rPr>
        <w:fldChar w:fldCharType="end"/>
      </w:r>
      <w:r>
        <w:rPr>
          <w:lang w:val="en-US"/>
        </w:rPr>
        <w:t>: C</w:t>
      </w:r>
      <w:r>
        <w:t xml:space="preserve">hanging UE-specific channel BW may </w:t>
      </w:r>
      <w:r>
        <w:rPr>
          <w:lang w:val="en-US"/>
        </w:rPr>
        <w:t>or may not</w:t>
      </w:r>
      <w:r>
        <w:t xml:space="preserve"> involve change on </w:t>
      </w:r>
      <w:r w:rsidR="00C16412">
        <w:t xml:space="preserve">the frequency location of </w:t>
      </w:r>
      <w:r>
        <w:t>UE-specific BWP</w:t>
      </w:r>
      <w:r w:rsidR="00DE5D2C">
        <w:rPr>
          <w:lang w:val="en-US"/>
        </w:rPr>
        <w:t xml:space="preserve"> because the reference 1</w:t>
      </w:r>
      <w:r w:rsidR="00DE5D2C" w:rsidRPr="00DE5D2C">
        <w:rPr>
          <w:vertAlign w:val="superscript"/>
          <w:lang w:val="en-US"/>
        </w:rPr>
        <w:t>st</w:t>
      </w:r>
      <w:r w:rsidR="00DE5D2C">
        <w:rPr>
          <w:lang w:val="en-US"/>
        </w:rPr>
        <w:t xml:space="preserve"> PRB for a BWP aligns the 1</w:t>
      </w:r>
      <w:r w:rsidR="00DE5D2C" w:rsidRPr="00DE5D2C">
        <w:rPr>
          <w:vertAlign w:val="superscript"/>
          <w:lang w:val="en-US"/>
        </w:rPr>
        <w:t>st</w:t>
      </w:r>
      <w:r w:rsidR="00DE5D2C">
        <w:rPr>
          <w:lang w:val="en-US"/>
        </w:rPr>
        <w:t xml:space="preserve"> PRB of the channel bandwidth.</w:t>
      </w:r>
      <w:bookmarkEnd w:id="1"/>
    </w:p>
    <w:p w14:paraId="005C6E7D" w14:textId="77777777" w:rsidR="00C16412" w:rsidRDefault="00C16412" w:rsidP="00C16412">
      <w:pPr>
        <w:jc w:val="both"/>
        <w:rPr>
          <w:lang w:eastAsia="x-none"/>
        </w:rPr>
      </w:pPr>
    </w:p>
    <w:p w14:paraId="548E1F04" w14:textId="77777777" w:rsidR="00DE5D2C" w:rsidRDefault="00C16412" w:rsidP="00C16412">
      <w:pPr>
        <w:jc w:val="both"/>
        <w:rPr>
          <w:lang w:eastAsia="x-none"/>
        </w:rPr>
      </w:pPr>
      <w:r>
        <w:rPr>
          <w:lang w:eastAsia="x-none"/>
        </w:rPr>
        <w:t xml:space="preserve">Since RAN4 requirements are minimum requirements, it is reasonable to assume that BWP switch is always involved when performing channel BW switch. As we know the current delay requirement of RRC-based BWP switch is 10ms + 6ms. We can expect the delay requirements for UE-specific channel BW switch should not be shorter than 16ms. Following similar logic, the interruption duration due to UE-specific channel BW switch </w:t>
      </w:r>
      <w:r w:rsidR="00DE5D2C">
        <w:rPr>
          <w:lang w:eastAsia="x-none"/>
        </w:rPr>
        <w:t>should not be shorter than that of RRC-based BWP switch. From our perspective it is OK to share the same delay and interruption requirements with RRC-based BWP switch.</w:t>
      </w:r>
    </w:p>
    <w:p w14:paraId="6AD798E4" w14:textId="1626BBAF" w:rsidR="00C16412" w:rsidRDefault="00DE5D2C" w:rsidP="00DE5D2C">
      <w:pPr>
        <w:pStyle w:val="Caption"/>
        <w:jc w:val="both"/>
      </w:pPr>
      <w:bookmarkStart w:id="2" w:name="_Ref31211387"/>
      <w:r>
        <w:t xml:space="preserve">Proposal </w:t>
      </w:r>
      <w:r w:rsidR="00F00DF1">
        <w:rPr>
          <w:noProof/>
        </w:rPr>
        <w:fldChar w:fldCharType="begin"/>
      </w:r>
      <w:r w:rsidR="00F00DF1">
        <w:rPr>
          <w:noProof/>
        </w:rPr>
        <w:instrText xml:space="preserve"> SEQ Proposal \* ARABIC </w:instrText>
      </w:r>
      <w:r w:rsidR="00F00DF1">
        <w:rPr>
          <w:noProof/>
        </w:rPr>
        <w:fldChar w:fldCharType="separate"/>
      </w:r>
      <w:r>
        <w:rPr>
          <w:noProof/>
        </w:rPr>
        <w:t>1</w:t>
      </w:r>
      <w:r w:rsidR="00F00DF1">
        <w:rPr>
          <w:noProof/>
        </w:rPr>
        <w:fldChar w:fldCharType="end"/>
      </w:r>
      <w:r>
        <w:rPr>
          <w:lang w:val="en-US"/>
        </w:rPr>
        <w:t>: The delay and interruption requirements for UE-specific channel BW switch is the same as those for RRC-based BWP switch.</w:t>
      </w:r>
      <w:bookmarkEnd w:id="2"/>
      <w:r>
        <w:t xml:space="preserve"> </w:t>
      </w:r>
    </w:p>
    <w:p w14:paraId="42383D3B" w14:textId="77777777" w:rsidR="003019C3" w:rsidRPr="002944C1" w:rsidRDefault="003019C3" w:rsidP="002944C1">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5DF09FB6" w:rsidR="002944C1" w:rsidRDefault="006F7557" w:rsidP="002944C1">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DE5D2C">
        <w:t>we provide our view on the requirements for UE-specific channel BW switch. We have the following observations and proposals.</w:t>
      </w:r>
    </w:p>
    <w:p w14:paraId="5CEDBF4F" w14:textId="54907E74" w:rsidR="00DE5D2C" w:rsidRDefault="00DE5D2C" w:rsidP="002944C1">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_Ref31211377 \h  \* MERGEFORMAT </w:instrText>
      </w:r>
      <w:r>
        <w:rPr>
          <w:b/>
          <w:sz w:val="20"/>
          <w:szCs w:val="20"/>
          <w:lang w:eastAsia="x-none"/>
        </w:rPr>
      </w:r>
      <w:r>
        <w:rPr>
          <w:b/>
          <w:sz w:val="20"/>
          <w:szCs w:val="20"/>
          <w:lang w:eastAsia="x-none"/>
        </w:rPr>
        <w:fldChar w:fldCharType="separate"/>
      </w:r>
      <w:r w:rsidR="00E24029" w:rsidRPr="00E24029">
        <w:rPr>
          <w:b/>
          <w:sz w:val="20"/>
          <w:szCs w:val="20"/>
          <w:lang w:eastAsia="x-none"/>
        </w:rPr>
        <w:t>Observation 1: Changing UE specific channel bandwidth means to signal a different values for either carrierBandwidth or offsetToCarrier.</w:t>
      </w:r>
      <w:r>
        <w:rPr>
          <w:b/>
          <w:sz w:val="20"/>
          <w:szCs w:val="20"/>
          <w:lang w:eastAsia="x-none"/>
        </w:rPr>
        <w:fldChar w:fldCharType="end"/>
      </w:r>
      <w:bookmarkStart w:id="3" w:name="_GoBack"/>
      <w:bookmarkEnd w:id="3"/>
    </w:p>
    <w:p w14:paraId="1C9F3305" w14:textId="464FFDB5" w:rsidR="00DE5D2C" w:rsidRDefault="00DE5D2C" w:rsidP="002944C1">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_Ref31211379 \h  \* MERGEFORMAT </w:instrText>
      </w:r>
      <w:r>
        <w:rPr>
          <w:b/>
          <w:sz w:val="20"/>
          <w:szCs w:val="20"/>
          <w:lang w:eastAsia="x-none"/>
        </w:rPr>
      </w:r>
      <w:r>
        <w:rPr>
          <w:b/>
          <w:sz w:val="20"/>
          <w:szCs w:val="20"/>
          <w:lang w:eastAsia="x-none"/>
        </w:rPr>
        <w:fldChar w:fldCharType="separate"/>
      </w:r>
      <w:r w:rsidR="00E24029" w:rsidRPr="00E24029">
        <w:rPr>
          <w:b/>
          <w:sz w:val="20"/>
          <w:szCs w:val="20"/>
          <w:lang w:eastAsia="x-none"/>
        </w:rPr>
        <w:t>Observation 2: Changing UE-specific channel BW may or may not involve change on the frequency location of UE-specific BWP because the reference 1st PRB for a BWP aligns the 1st PRB of the channel bandwidth.</w:t>
      </w:r>
      <w:r>
        <w:rPr>
          <w:b/>
          <w:sz w:val="20"/>
          <w:szCs w:val="20"/>
          <w:lang w:eastAsia="x-none"/>
        </w:rPr>
        <w:fldChar w:fldCharType="end"/>
      </w:r>
    </w:p>
    <w:p w14:paraId="46531BBF" w14:textId="6FB3D62D" w:rsidR="000204A5" w:rsidRPr="007F5072" w:rsidRDefault="00DE5D2C"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_Ref31211387 \h  \* MERGEFORMAT </w:instrText>
      </w:r>
      <w:r>
        <w:rPr>
          <w:b/>
          <w:sz w:val="20"/>
          <w:szCs w:val="20"/>
          <w:lang w:eastAsia="x-none"/>
        </w:rPr>
      </w:r>
      <w:r>
        <w:rPr>
          <w:b/>
          <w:sz w:val="20"/>
          <w:szCs w:val="20"/>
          <w:lang w:eastAsia="x-none"/>
        </w:rPr>
        <w:fldChar w:fldCharType="separate"/>
      </w:r>
      <w:r w:rsidR="00E24029" w:rsidRPr="00E24029">
        <w:rPr>
          <w:b/>
          <w:sz w:val="20"/>
          <w:szCs w:val="20"/>
          <w:lang w:eastAsia="x-none"/>
        </w:rPr>
        <w:t>Proposal 1: The delay and interruption requirements for UE-specific channel BW switch is the same as those for RRC-based BWP switch.</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191EE729" w14:textId="0F6C5B0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2944C1" w:rsidRPr="002944C1">
        <w:rPr>
          <w:sz w:val="20"/>
          <w:lang w:eastAsia="ko-KR"/>
        </w:rPr>
        <w:t>RP-193211</w:t>
      </w:r>
      <w:r>
        <w:rPr>
          <w:sz w:val="20"/>
          <w:lang w:eastAsia="ko-KR"/>
        </w:rPr>
        <w:t>, “</w:t>
      </w:r>
      <w:r w:rsidR="002944C1" w:rsidRPr="002944C1">
        <w:rPr>
          <w:sz w:val="20"/>
          <w:lang w:eastAsia="ko-KR"/>
        </w:rPr>
        <w:t>Revised WID: NR RRM enhancement in R16</w:t>
      </w:r>
      <w:r>
        <w:rPr>
          <w:sz w:val="20"/>
          <w:lang w:eastAsia="ko-KR"/>
        </w:rPr>
        <w:t xml:space="preserve">”, </w:t>
      </w:r>
      <w:r w:rsidR="002944C1" w:rsidRPr="002944C1">
        <w:rPr>
          <w:sz w:val="20"/>
          <w:lang w:eastAsia="ko-KR"/>
        </w:rPr>
        <w:t>Intel Corporation</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94A83" w14:textId="77777777" w:rsidR="00A76898" w:rsidRDefault="00A76898">
      <w:r>
        <w:separator/>
      </w:r>
    </w:p>
  </w:endnote>
  <w:endnote w:type="continuationSeparator" w:id="0">
    <w:p w14:paraId="3C2F9F5F" w14:textId="77777777" w:rsidR="00A76898" w:rsidRDefault="00A7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F2B32" w14:textId="77777777" w:rsidR="00A76898" w:rsidRDefault="00A76898">
      <w:r>
        <w:separator/>
      </w:r>
    </w:p>
  </w:footnote>
  <w:footnote w:type="continuationSeparator" w:id="0">
    <w:p w14:paraId="07B57C26" w14:textId="77777777" w:rsidR="00A76898" w:rsidRDefault="00A768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3"/>
  </w:num>
  <w:num w:numId="4">
    <w:abstractNumId w:val="2"/>
  </w:num>
  <w:num w:numId="5">
    <w:abstractNumId w:val="8"/>
  </w:num>
  <w:num w:numId="6">
    <w:abstractNumId w:val="16"/>
  </w:num>
  <w:num w:numId="7">
    <w:abstractNumId w:val="12"/>
  </w:num>
  <w:num w:numId="8">
    <w:abstractNumId w:val="19"/>
  </w:num>
  <w:num w:numId="9">
    <w:abstractNumId w:val="14"/>
  </w:num>
  <w:num w:numId="10">
    <w:abstractNumId w:val="1"/>
  </w:num>
  <w:num w:numId="11">
    <w:abstractNumId w:val="5"/>
  </w:num>
  <w:num w:numId="12">
    <w:abstractNumId w:val="17"/>
  </w:num>
  <w:num w:numId="13">
    <w:abstractNumId w:val="13"/>
  </w:num>
  <w:num w:numId="14">
    <w:abstractNumId w:val="4"/>
  </w:num>
  <w:num w:numId="15">
    <w:abstractNumId w:val="7"/>
  </w:num>
  <w:num w:numId="16">
    <w:abstractNumId w:val="15"/>
  </w:num>
  <w:num w:numId="17">
    <w:abstractNumId w:val="9"/>
  </w:num>
  <w:num w:numId="18">
    <w:abstractNumId w:val="6"/>
  </w:num>
  <w:num w:numId="19">
    <w:abstractNumId w:val="10"/>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500"/>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98"/>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029"/>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0DF1"/>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0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50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75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5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8E6F0-8D76-4381-BC90-3ECDF87C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